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1806615"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AC2CDC">
        <w:rPr>
          <w:rFonts w:cs="B Mitra" w:hint="cs"/>
          <w:b/>
          <w:bCs/>
          <w:sz w:val="32"/>
          <w:szCs w:val="32"/>
          <w:rtl/>
          <w:lang w:bidi="fa-IR"/>
        </w:rPr>
        <w:t>5</w:t>
      </w:r>
    </w:p>
    <w:p w14:paraId="7CBBEA67" w14:textId="7E2D5187" w:rsidR="00814D9E" w:rsidRDefault="00814D9E"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Pr>
          <w:rFonts w:ascii="Traditional Arabic" w:hAnsi="Traditional Arabic" w:cs="Abz-2 (Badr)" w:hint="cs"/>
          <w:color w:val="000000"/>
          <w:spacing w:val="-2"/>
          <w:sz w:val="28"/>
          <w:szCs w:val="28"/>
          <w:rtl/>
          <w:lang w:bidi="ar"/>
        </w:rPr>
        <w:t>بحث ما در خصوص اين مسأله بود که اگر مهر مؤجل بوده و زوجه عصياناً تا هنگام حال شدن آن از تمکين خودداری کرد، آيا پس از حالّ شدن مهر، حق امتناع از تمکين تا دريافت مهر را خواهد داشت يا خير؟</w:t>
      </w:r>
    </w:p>
    <w:p w14:paraId="4F5B3267" w14:textId="3A6D873A" w:rsidR="00814D9E" w:rsidRDefault="00814D9E" w:rsidP="00814D9E">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Pr>
          <w:rFonts w:ascii="Traditional Arabic" w:hAnsi="Traditional Arabic" w:cs="Abz-2 (Badr)" w:hint="cs"/>
          <w:color w:val="000000"/>
          <w:spacing w:val="-2"/>
          <w:sz w:val="28"/>
          <w:szCs w:val="28"/>
          <w:rtl/>
          <w:lang w:bidi="ar"/>
        </w:rPr>
        <w:t>گفتيم که محقق حلی و شيخ در مبسوط، قائل به عدم جواز امتناع زوجه از تمکين در اين فرض شده</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اند، هرچند اطلاق کلام شيخ در نهايه دلالت بر جواز امتناع زوجه از تمکين ولو در فرض مؤجّل بودن مهر دارد.</w:t>
      </w:r>
    </w:p>
    <w:p w14:paraId="2E4F3FEF" w14:textId="532CE78D" w:rsidR="00AC2CDC" w:rsidRPr="000D2A0D" w:rsidRDefault="00AC2CDC" w:rsidP="00814D9E">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lang w:bidi="ar"/>
        </w:rPr>
      </w:pPr>
      <w:r>
        <w:rPr>
          <w:rFonts w:ascii="Traditional Arabic" w:hAnsi="Traditional Arabic" w:cs="Abz-2 (Badr)" w:hint="cs"/>
          <w:color w:val="000000"/>
          <w:spacing w:val="-2"/>
          <w:sz w:val="28"/>
          <w:szCs w:val="28"/>
          <w:rtl/>
          <w:lang w:bidi="ar"/>
        </w:rPr>
        <w:t>شهيد ثانی هم در مسال</w:t>
      </w:r>
      <w:r>
        <w:rPr>
          <w:rFonts w:ascii="Traditional Arabic" w:hAnsi="Traditional Arabic" w:cs="Abz-2 (Badr)" w:hint="cs"/>
          <w:color w:val="000000"/>
          <w:spacing w:val="-2"/>
          <w:sz w:val="28"/>
          <w:szCs w:val="28"/>
          <w:rtl/>
        </w:rPr>
        <w:t xml:space="preserve">ك </w:t>
      </w:r>
      <w:r>
        <w:rPr>
          <w:rFonts w:ascii="Traditional Arabic" w:hAnsi="Traditional Arabic" w:cs="Abz-2 (Badr)" w:hint="cs"/>
          <w:color w:val="000000"/>
          <w:spacing w:val="-2"/>
          <w:sz w:val="28"/>
          <w:szCs w:val="28"/>
          <w:rtl/>
          <w:lang w:bidi="fa-IR"/>
        </w:rPr>
        <w:t>فرموده است: «</w:t>
      </w:r>
      <w:r w:rsidRPr="000D2A0D">
        <w:rPr>
          <w:rFonts w:ascii="Traditional Arabic" w:hAnsi="Traditional Arabic" w:cs="Abz-2 (Badr)"/>
          <w:color w:val="000000"/>
          <w:spacing w:val="-2"/>
          <w:sz w:val="28"/>
          <w:szCs w:val="28"/>
          <w:rtl/>
          <w:lang w:bidi="ar"/>
        </w:rPr>
        <w:t>إن دافعت وأقدمت على فعل المحرّم حت</w:t>
      </w:r>
      <w:r>
        <w:rPr>
          <w:rFonts w:ascii="Traditional Arabic" w:hAnsi="Traditional Arabic" w:cs="Abz-2 (Badr)" w:hint="cs"/>
          <w:color w:val="000000"/>
          <w:spacing w:val="-2"/>
          <w:sz w:val="28"/>
          <w:szCs w:val="28"/>
          <w:rtl/>
          <w:lang w:bidi="ar"/>
        </w:rPr>
        <w:t>ّ</w:t>
      </w:r>
      <w:r w:rsidRPr="000D2A0D">
        <w:rPr>
          <w:rFonts w:ascii="Traditional Arabic" w:hAnsi="Traditional Arabic" w:cs="Abz-2 (Badr)"/>
          <w:color w:val="000000"/>
          <w:spacing w:val="-2"/>
          <w:sz w:val="28"/>
          <w:szCs w:val="28"/>
          <w:rtl/>
          <w:lang w:bidi="ar"/>
        </w:rPr>
        <w:t>ى حلّ‌ الأجل ووجب المهر</w:t>
      </w:r>
      <w:r>
        <w:rPr>
          <w:rFonts w:ascii="Traditional Arabic" w:hAnsi="Traditional Arabic" w:cs="Abz-2 (Badr)" w:hint="cs"/>
          <w:color w:val="000000"/>
          <w:spacing w:val="-2"/>
          <w:sz w:val="28"/>
          <w:szCs w:val="28"/>
          <w:rtl/>
          <w:lang w:bidi="ar"/>
        </w:rPr>
        <w:t>،</w:t>
      </w:r>
      <w:r w:rsidRPr="000D2A0D">
        <w:rPr>
          <w:rFonts w:ascii="Traditional Arabic" w:hAnsi="Traditional Arabic" w:cs="Abz-2 (Badr)"/>
          <w:color w:val="000000"/>
          <w:spacing w:val="-2"/>
          <w:sz w:val="28"/>
          <w:szCs w:val="28"/>
          <w:rtl/>
          <w:lang w:bidi="ar"/>
        </w:rPr>
        <w:t xml:space="preserve"> ففي جواز امتناعها بعد ذلك كالحالّ‌ وجهان، من اشتراكهما [حينئذ</w:t>
      </w:r>
      <w:r>
        <w:rPr>
          <w:rFonts w:ascii="Traditional Arabic" w:hAnsi="Traditional Arabic" w:cs="Abz-2 (Badr)" w:hint="cs"/>
          <w:color w:val="000000"/>
          <w:spacing w:val="-2"/>
          <w:sz w:val="28"/>
          <w:szCs w:val="28"/>
          <w:rtl/>
          <w:lang w:bidi="ar"/>
        </w:rPr>
        <w:t>ٍ</w:t>
      </w:r>
      <w:r w:rsidRPr="000D2A0D">
        <w:rPr>
          <w:rFonts w:ascii="Traditional Arabic" w:hAnsi="Traditional Arabic" w:cs="Abz-2 (Badr)"/>
          <w:color w:val="000000"/>
          <w:spacing w:val="-2"/>
          <w:sz w:val="28"/>
          <w:szCs w:val="28"/>
          <w:rtl/>
          <w:lang w:bidi="ar"/>
        </w:rPr>
        <w:t xml:space="preserve">] في المعنى، ومن استقرار وجوب تسليمها قبله فيستصحب. </w:t>
      </w:r>
    </w:p>
    <w:p w14:paraId="31546D98" w14:textId="77777777"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sidRPr="000D2A0D">
        <w:rPr>
          <w:rFonts w:ascii="Traditional Arabic" w:hAnsi="Traditional Arabic" w:cs="Abz-2 (Badr)"/>
          <w:color w:val="000000"/>
          <w:spacing w:val="-2"/>
          <w:sz w:val="28"/>
          <w:szCs w:val="28"/>
          <w:rtl/>
          <w:lang w:bidi="ar"/>
        </w:rPr>
        <w:t>ولأنها لمّا رضيت بالتأجيل ثبت أمرها على أن لا حقّ‌ لها في الامتناع، فيمتنع ثبوته بعد ذلك، لانتفاء المقتضي</w:t>
      </w:r>
      <w:r>
        <w:rPr>
          <w:rFonts w:ascii="Traditional Arabic" w:hAnsi="Traditional Arabic" w:cs="Abz-2 (Badr)" w:hint="cs"/>
          <w:color w:val="000000"/>
          <w:spacing w:val="-2"/>
          <w:sz w:val="28"/>
          <w:szCs w:val="28"/>
          <w:rtl/>
          <w:lang w:bidi="ar"/>
        </w:rPr>
        <w:t>؛</w:t>
      </w:r>
      <w:r w:rsidRPr="000D2A0D">
        <w:rPr>
          <w:rFonts w:ascii="Traditional Arabic" w:hAnsi="Traditional Arabic" w:cs="Abz-2 (Badr)"/>
          <w:color w:val="000000"/>
          <w:spacing w:val="-2"/>
          <w:sz w:val="28"/>
          <w:szCs w:val="28"/>
          <w:rtl/>
          <w:lang w:bidi="ar"/>
        </w:rPr>
        <w:t xml:space="preserve"> وهذا هو الأقوى</w:t>
      </w:r>
      <w:r>
        <w:rPr>
          <w:rFonts w:ascii="Traditional Arabic" w:hAnsi="Traditional Arabic" w:cs="Abz-2 (Badr)" w:hint="cs"/>
          <w:color w:val="000000"/>
          <w:spacing w:val="-2"/>
          <w:sz w:val="28"/>
          <w:szCs w:val="28"/>
          <w:rtl/>
          <w:lang w:bidi="ar"/>
        </w:rPr>
        <w:t>.»</w:t>
      </w:r>
      <w:r w:rsidRPr="0073435E">
        <w:rPr>
          <w:rStyle w:val="FootnoteReference"/>
          <w:rFonts w:cs="Abz-2 (Badr)"/>
          <w:color w:val="000000" w:themeColor="text1"/>
          <w:sz w:val="28"/>
          <w:szCs w:val="28"/>
          <w:rtl/>
          <w:lang w:bidi="ar"/>
        </w:rPr>
        <w:footnoteReference w:id="1"/>
      </w:r>
    </w:p>
    <w:p w14:paraId="0EFD3BC9" w14:textId="77777777" w:rsidR="00AC2CDC" w:rsidRPr="004A65C4" w:rsidRDefault="00AC2CDC" w:rsidP="00AC2CDC">
      <w:pPr>
        <w:pStyle w:val="NormalWeb"/>
        <w:widowControl w:val="0"/>
        <w:bidi/>
        <w:spacing w:before="0" w:beforeAutospacing="0" w:after="0" w:afterAutospacing="0" w:line="259" w:lineRule="auto"/>
        <w:ind w:firstLine="284"/>
        <w:jc w:val="both"/>
        <w:rPr>
          <w:sz w:val="36"/>
          <w:szCs w:val="36"/>
          <w:rtl/>
          <w:lang w:bidi="fa-IR"/>
        </w:rPr>
      </w:pPr>
      <w:r>
        <w:rPr>
          <w:rFonts w:ascii="Traditional Arabic" w:hAnsi="Traditional Arabic" w:cs="Abz-2 (Badr)" w:hint="cs"/>
          <w:color w:val="000000"/>
          <w:spacing w:val="-2"/>
          <w:sz w:val="28"/>
          <w:szCs w:val="28"/>
          <w:rtl/>
          <w:lang w:bidi="ar"/>
        </w:rPr>
        <w:t>و در جای ديگری فرموده</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اند: «</w:t>
      </w:r>
      <w:r w:rsidRPr="004A65C4">
        <w:rPr>
          <w:rFonts w:ascii="Traditional Arabic" w:hAnsi="Traditional Arabic" w:cs="Abz-2 (Badr)"/>
          <w:color w:val="000000"/>
          <w:spacing w:val="-2"/>
          <w:sz w:val="28"/>
          <w:szCs w:val="28"/>
          <w:rtl/>
          <w:lang w:bidi="ar"/>
        </w:rPr>
        <w:t>القول بجواز امتناعها حينئذ</w:t>
      </w:r>
      <w:r>
        <w:rPr>
          <w:rFonts w:ascii="Traditional Arabic" w:hAnsi="Traditional Arabic" w:cs="Abz-2 (Badr)" w:hint="cs"/>
          <w:color w:val="000000"/>
          <w:spacing w:val="-2"/>
          <w:sz w:val="28"/>
          <w:szCs w:val="28"/>
          <w:rtl/>
          <w:lang w:bidi="ar"/>
        </w:rPr>
        <w:t>ٍ</w:t>
      </w:r>
      <w:r w:rsidRPr="004A65C4">
        <w:rPr>
          <w:rFonts w:ascii="Traditional Arabic" w:hAnsi="Traditional Arabic" w:cs="Abz-2 (Badr)"/>
          <w:color w:val="000000"/>
          <w:spacing w:val="-2"/>
          <w:sz w:val="28"/>
          <w:szCs w:val="28"/>
          <w:rtl/>
          <w:lang w:bidi="ar"/>
        </w:rPr>
        <w:t xml:space="preserve"> للشيخ في النهاية، حيث أطلق جواز امتناعها حت</w:t>
      </w:r>
      <w:r>
        <w:rPr>
          <w:rFonts w:ascii="Traditional Arabic" w:hAnsi="Traditional Arabic" w:cs="Abz-2 (Badr)" w:hint="cs"/>
          <w:color w:val="000000"/>
          <w:spacing w:val="-2"/>
          <w:sz w:val="28"/>
          <w:szCs w:val="28"/>
          <w:rtl/>
          <w:lang w:bidi="ar"/>
        </w:rPr>
        <w:t>ّ</w:t>
      </w:r>
      <w:r w:rsidRPr="004A65C4">
        <w:rPr>
          <w:rFonts w:ascii="Traditional Arabic" w:hAnsi="Traditional Arabic" w:cs="Abz-2 (Badr)"/>
          <w:color w:val="000000"/>
          <w:spacing w:val="-2"/>
          <w:sz w:val="28"/>
          <w:szCs w:val="28"/>
          <w:rtl/>
          <w:lang w:bidi="ar"/>
        </w:rPr>
        <w:t>ى تقبض المهر الشامل لمحلّ‌ النزاع. أم</w:t>
      </w:r>
      <w:r>
        <w:rPr>
          <w:rFonts w:ascii="Traditional Arabic" w:hAnsi="Traditional Arabic" w:cs="Abz-2 (Badr)" w:hint="cs"/>
          <w:color w:val="000000"/>
          <w:spacing w:val="-2"/>
          <w:sz w:val="28"/>
          <w:szCs w:val="28"/>
          <w:rtl/>
          <w:lang w:bidi="ar"/>
        </w:rPr>
        <w:t>ّ</w:t>
      </w:r>
      <w:r w:rsidRPr="004A65C4">
        <w:rPr>
          <w:rFonts w:ascii="Traditional Arabic" w:hAnsi="Traditional Arabic" w:cs="Abz-2 (Badr)"/>
          <w:color w:val="000000"/>
          <w:spacing w:val="-2"/>
          <w:sz w:val="28"/>
          <w:szCs w:val="28"/>
          <w:rtl/>
          <w:lang w:bidi="ar"/>
        </w:rPr>
        <w:t>ا بخصوص المسألة فلا نعلم به قائلا</w:t>
      </w:r>
      <w:r>
        <w:rPr>
          <w:rFonts w:ascii="Traditional Arabic" w:hAnsi="Traditional Arabic" w:cs="Abz-2 (Badr)" w:hint="cs"/>
          <w:color w:val="000000"/>
          <w:spacing w:val="-2"/>
          <w:sz w:val="28"/>
          <w:szCs w:val="28"/>
          <w:rtl/>
          <w:lang w:bidi="ar"/>
        </w:rPr>
        <w:t>ً</w:t>
      </w:r>
      <w:r w:rsidRPr="004A65C4">
        <w:rPr>
          <w:rFonts w:ascii="Traditional Arabic" w:hAnsi="Traditional Arabic" w:cs="Abz-2 (Badr)"/>
          <w:color w:val="000000"/>
          <w:spacing w:val="-2"/>
          <w:sz w:val="28"/>
          <w:szCs w:val="28"/>
          <w:rtl/>
          <w:lang w:bidi="ar"/>
        </w:rPr>
        <w:t>، ولا ذكره أحد ممّن تعرّض لنقل الأقوال</w:t>
      </w:r>
      <w:r>
        <w:rPr>
          <w:rFonts w:ascii="Traditional Arabic" w:hAnsi="Traditional Arabic" w:cs="Abz-2 (Badr)" w:hint="cs"/>
          <w:color w:val="000000"/>
          <w:spacing w:val="-2"/>
          <w:sz w:val="28"/>
          <w:szCs w:val="28"/>
          <w:rtl/>
          <w:lang w:bidi="ar"/>
        </w:rPr>
        <w:t>.»</w:t>
      </w:r>
      <w:r w:rsidRPr="0073435E">
        <w:rPr>
          <w:rStyle w:val="FootnoteReference"/>
          <w:rFonts w:cs="Abz-2 (Badr)"/>
          <w:color w:val="000000" w:themeColor="text1"/>
          <w:sz w:val="28"/>
          <w:szCs w:val="28"/>
          <w:rtl/>
          <w:lang w:bidi="ar"/>
        </w:rPr>
        <w:footnoteReference w:id="2"/>
      </w:r>
    </w:p>
    <w:p w14:paraId="23EB4026" w14:textId="3174FC81"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sidRPr="004A65C4">
        <w:rPr>
          <w:rFonts w:ascii="Traditional Arabic" w:hAnsi="Traditional Arabic" w:cs="Abz-2 (Badr)" w:hint="cs"/>
          <w:color w:val="000000"/>
          <w:spacing w:val="-2"/>
          <w:sz w:val="28"/>
          <w:szCs w:val="28"/>
          <w:rtl/>
          <w:lang w:bidi="ar"/>
        </w:rPr>
        <w:t xml:space="preserve">در واقع </w:t>
      </w:r>
      <w:r>
        <w:rPr>
          <w:rFonts w:ascii="Traditional Arabic" w:hAnsi="Traditional Arabic" w:cs="Abz-2 (Badr)" w:hint="cs"/>
          <w:color w:val="000000"/>
          <w:spacing w:val="-2"/>
          <w:sz w:val="28"/>
          <w:szCs w:val="28"/>
          <w:rtl/>
          <w:lang w:bidi="ar"/>
        </w:rPr>
        <w:t xml:space="preserve">آنچه که در کلمات شهيد ثانی </w:t>
      </w:r>
      <w:r w:rsidR="00814D9E">
        <w:rPr>
          <w:rFonts w:ascii="Traditional Arabic" w:hAnsi="Traditional Arabic" w:cs="Abz-2 (Badr)" w:hint="cs"/>
          <w:color w:val="000000"/>
          <w:spacing w:val="-2"/>
          <w:sz w:val="28"/>
          <w:szCs w:val="28"/>
          <w:rtl/>
          <w:lang w:bidi="ar"/>
        </w:rPr>
        <w:t xml:space="preserve">به عنوان دليل دوم </w:t>
      </w:r>
      <w:r>
        <w:rPr>
          <w:rFonts w:ascii="Traditional Arabic" w:hAnsi="Traditional Arabic" w:cs="Abz-2 (Badr)" w:hint="cs"/>
          <w:color w:val="000000"/>
          <w:spacing w:val="-2"/>
          <w:sz w:val="28"/>
          <w:szCs w:val="28"/>
          <w:rtl/>
          <w:lang w:bidi="ar"/>
        </w:rPr>
        <w:t>برای وجه عدم جواز امتناع امده است، از باب تمسّک به قاعده اقدام است، بدين معنا که چون زوجه با قبول تأجيل مهر اقدام به عملی کرده است که نتيجه آن عدم جواز امتناع وی از تمکين برای اخذ مهر است، در ادامه و با حالّ شدن مهر نيز وجهی برای اين که چنين حقی برای او ايجاد شود</w:t>
      </w:r>
      <w:r w:rsidR="00814D9E">
        <w:rPr>
          <w:rFonts w:ascii="Traditional Arabic" w:hAnsi="Traditional Arabic" w:cs="Abz-2 (Badr)" w:hint="cs"/>
          <w:color w:val="000000"/>
          <w:spacing w:val="-2"/>
          <w:sz w:val="28"/>
          <w:szCs w:val="28"/>
          <w:rtl/>
          <w:lang w:bidi="ar"/>
        </w:rPr>
        <w:t>،</w:t>
      </w:r>
      <w:r>
        <w:rPr>
          <w:rFonts w:ascii="Traditional Arabic" w:hAnsi="Traditional Arabic" w:cs="Abz-2 (Badr)" w:hint="cs"/>
          <w:color w:val="000000"/>
          <w:spacing w:val="-2"/>
          <w:sz w:val="28"/>
          <w:szCs w:val="28"/>
          <w:rtl/>
          <w:lang w:bidi="ar"/>
        </w:rPr>
        <w:t xml:space="preserve"> </w:t>
      </w:r>
      <w:r>
        <w:rPr>
          <w:rFonts w:ascii="Traditional Arabic" w:hAnsi="Traditional Arabic" w:cs="Abz-2 (Badr)" w:hint="cs"/>
          <w:color w:val="000000"/>
          <w:spacing w:val="-2"/>
          <w:sz w:val="28"/>
          <w:szCs w:val="28"/>
          <w:rtl/>
          <w:lang w:bidi="ar"/>
        </w:rPr>
        <w:lastRenderedPageBreak/>
        <w:t>وجود نخواهد داشت.</w:t>
      </w:r>
    </w:p>
    <w:p w14:paraId="1308B924" w14:textId="1053D089"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Pr>
          <w:rFonts w:ascii="Traditional Arabic" w:hAnsi="Traditional Arabic" w:cs="Abz-2 (Badr)" w:hint="cs"/>
          <w:color w:val="000000"/>
          <w:spacing w:val="-2"/>
          <w:sz w:val="28"/>
          <w:szCs w:val="28"/>
          <w:rtl/>
          <w:lang w:bidi="ar"/>
        </w:rPr>
        <w:t xml:space="preserve">به عبارت ديگر در صورتی که مهر مؤجّل باشد، ديگر مقتضی برای اين که زوجه حق امتناع از تمکين را داشته باشد، وجود ندارد، نه اين که مؤجّل بودن مانع از چنين حقی باشد. بنابر اين حتی اگر مهر حال شود نيز زوجه حق امتناع از تمکين </w:t>
      </w:r>
      <w:r w:rsidR="00814D9E">
        <w:rPr>
          <w:rFonts w:ascii="Traditional Arabic" w:hAnsi="Traditional Arabic" w:cs="Abz-2 (Badr)" w:hint="cs"/>
          <w:color w:val="000000"/>
          <w:spacing w:val="-2"/>
          <w:sz w:val="28"/>
          <w:szCs w:val="28"/>
          <w:rtl/>
          <w:lang w:bidi="ar"/>
        </w:rPr>
        <w:t xml:space="preserve">را </w:t>
      </w:r>
      <w:r>
        <w:rPr>
          <w:rFonts w:ascii="Traditional Arabic" w:hAnsi="Traditional Arabic" w:cs="Abz-2 (Badr)" w:hint="cs"/>
          <w:color w:val="000000"/>
          <w:spacing w:val="-2"/>
          <w:sz w:val="28"/>
          <w:szCs w:val="28"/>
          <w:rtl/>
          <w:lang w:bidi="ar"/>
        </w:rPr>
        <w:t>نخواهد داشت، چون حال شدن مهر سبب ايجاد مقتضی برای ايجاد حق او نيست، بلکه اثری که می</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تواند داشته باشد در مواردی است که مقتضی برای حقی وجود داشته باشد و مؤجّل بودن مانع از تأثيرگذاری آن مقتضی گردد.</w:t>
      </w:r>
    </w:p>
    <w:p w14:paraId="0940176F" w14:textId="08E613A1"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Pr>
          <w:rFonts w:ascii="Traditional Arabic" w:hAnsi="Traditional Arabic" w:cs="Abz-2 (Badr)" w:hint="cs"/>
          <w:color w:val="000000"/>
          <w:spacing w:val="-2"/>
          <w:sz w:val="28"/>
          <w:szCs w:val="28"/>
          <w:rtl/>
          <w:lang w:bidi="ar"/>
        </w:rPr>
        <w:t xml:space="preserve">حق نيز در اين مطلب با شهيد ثانی است، </w:t>
      </w:r>
      <w:r w:rsidR="00814D9E">
        <w:rPr>
          <w:rFonts w:ascii="Traditional Arabic" w:hAnsi="Traditional Arabic" w:cs="Abz-2 (Badr)" w:hint="cs"/>
          <w:color w:val="000000"/>
          <w:spacing w:val="-2"/>
          <w:sz w:val="28"/>
          <w:szCs w:val="28"/>
          <w:rtl/>
          <w:lang w:bidi="ar"/>
        </w:rPr>
        <w:t xml:space="preserve">مؤيّد آن نيز اين است که </w:t>
      </w:r>
      <w:r>
        <w:rPr>
          <w:rFonts w:ascii="Traditional Arabic" w:hAnsi="Traditional Arabic" w:cs="Abz-2 (Badr)" w:hint="cs"/>
          <w:color w:val="000000"/>
          <w:spacing w:val="-2"/>
          <w:sz w:val="28"/>
          <w:szCs w:val="28"/>
          <w:rtl/>
          <w:lang w:bidi="ar"/>
        </w:rPr>
        <w:t>چنانچه زوجه قبل از حال شدن مهر</w:t>
      </w:r>
      <w:r w:rsidR="00814D9E">
        <w:rPr>
          <w:rFonts w:ascii="Traditional Arabic" w:hAnsi="Traditional Arabic" w:cs="Abz-2 (Badr)" w:hint="cs"/>
          <w:color w:val="000000"/>
          <w:spacing w:val="-2"/>
          <w:sz w:val="28"/>
          <w:szCs w:val="28"/>
          <w:rtl/>
          <w:lang w:bidi="ar"/>
        </w:rPr>
        <w:t>،</w:t>
      </w:r>
      <w:r>
        <w:rPr>
          <w:rFonts w:ascii="Traditional Arabic" w:hAnsi="Traditional Arabic" w:cs="Abz-2 (Badr)" w:hint="cs"/>
          <w:color w:val="000000"/>
          <w:spacing w:val="-2"/>
          <w:sz w:val="28"/>
          <w:szCs w:val="28"/>
          <w:rtl/>
          <w:lang w:bidi="ar"/>
        </w:rPr>
        <w:t xml:space="preserve"> تمکين کرده باشد، </w:t>
      </w:r>
      <w:r w:rsidR="00814D9E">
        <w:rPr>
          <w:rFonts w:ascii="Traditional Arabic" w:hAnsi="Traditional Arabic" w:cs="Abz-2 (Badr)" w:hint="cs"/>
          <w:color w:val="000000"/>
          <w:spacing w:val="-2"/>
          <w:sz w:val="28"/>
          <w:szCs w:val="28"/>
          <w:rtl/>
          <w:lang w:bidi="ar"/>
        </w:rPr>
        <w:t xml:space="preserve">بعد از </w:t>
      </w:r>
      <w:r>
        <w:rPr>
          <w:rFonts w:ascii="Traditional Arabic" w:hAnsi="Traditional Arabic" w:cs="Abz-2 (Badr)" w:hint="cs"/>
          <w:color w:val="000000"/>
          <w:spacing w:val="-2"/>
          <w:sz w:val="28"/>
          <w:szCs w:val="28"/>
          <w:rtl/>
          <w:lang w:bidi="ar"/>
        </w:rPr>
        <w:t>حال شد</w:t>
      </w:r>
      <w:r w:rsidR="00814D9E">
        <w:rPr>
          <w:rFonts w:ascii="Traditional Arabic" w:hAnsi="Traditional Arabic" w:cs="Abz-2 (Badr)" w:hint="cs"/>
          <w:color w:val="000000"/>
          <w:spacing w:val="-2"/>
          <w:sz w:val="28"/>
          <w:szCs w:val="28"/>
          <w:rtl/>
          <w:lang w:bidi="ar"/>
        </w:rPr>
        <w:t>ن آن</w:t>
      </w:r>
      <w:r>
        <w:rPr>
          <w:rFonts w:ascii="Traditional Arabic" w:hAnsi="Traditional Arabic" w:cs="Abz-2 (Badr)" w:hint="cs"/>
          <w:color w:val="000000"/>
          <w:spacing w:val="-2"/>
          <w:sz w:val="28"/>
          <w:szCs w:val="28"/>
          <w:rtl/>
          <w:lang w:bidi="ar"/>
        </w:rPr>
        <w:t xml:space="preserve"> و</w:t>
      </w:r>
      <w:r w:rsidR="00814D9E">
        <w:rPr>
          <w:rFonts w:ascii="Traditional Arabic" w:hAnsi="Traditional Arabic" w:cs="Abz-2 (Badr)" w:hint="cs"/>
          <w:color w:val="000000"/>
          <w:spacing w:val="-2"/>
          <w:sz w:val="28"/>
          <w:szCs w:val="28"/>
          <w:rtl/>
          <w:lang w:bidi="ar"/>
        </w:rPr>
        <w:t xml:space="preserve"> امتناع</w:t>
      </w:r>
      <w:r>
        <w:rPr>
          <w:rFonts w:ascii="Traditional Arabic" w:hAnsi="Traditional Arabic" w:cs="Abz-2 (Badr)" w:hint="cs"/>
          <w:color w:val="000000"/>
          <w:spacing w:val="-2"/>
          <w:sz w:val="28"/>
          <w:szCs w:val="28"/>
          <w:rtl/>
          <w:lang w:bidi="ar"/>
        </w:rPr>
        <w:t xml:space="preserve"> زوج از دادن مهر به وی، اشکالی نيست که زوجه ديگر حق امتناع از تمکين را نخواهد داشت</w:t>
      </w:r>
      <w:r w:rsidR="00814D9E">
        <w:rPr>
          <w:rFonts w:ascii="Traditional Arabic" w:hAnsi="Traditional Arabic" w:cs="Abz-2 (Badr)" w:hint="cs"/>
          <w:color w:val="000000"/>
          <w:spacing w:val="-2"/>
          <w:sz w:val="28"/>
          <w:szCs w:val="28"/>
          <w:rtl/>
          <w:lang w:bidi="ar"/>
        </w:rPr>
        <w:t>، در حالی که اگر حال شدن مهر، سبب رفع مانع از حق وی برای امتناع از تمکين شده يا ايجاد مقتضی برای آن نمايد، در اين فرض هم بايد قائل به حق وی برای امتناع از تمکين بشويم</w:t>
      </w:r>
      <w:r>
        <w:rPr>
          <w:rFonts w:ascii="Traditional Arabic" w:hAnsi="Traditional Arabic" w:cs="Abz-2 (Badr)" w:hint="cs"/>
          <w:color w:val="000000"/>
          <w:spacing w:val="-2"/>
          <w:sz w:val="28"/>
          <w:szCs w:val="28"/>
          <w:rtl/>
          <w:lang w:bidi="ar"/>
        </w:rPr>
        <w:t>.</w:t>
      </w:r>
    </w:p>
    <w:p w14:paraId="61F20F3F" w14:textId="77777777"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p>
    <w:p w14:paraId="7ACFBBBC" w14:textId="77777777" w:rsidR="00AC2CDC" w:rsidRDefault="00AC2CDC" w:rsidP="00AC2CDC">
      <w:pPr>
        <w:widowControl w:val="0"/>
        <w:bidi/>
        <w:spacing w:after="0"/>
        <w:ind w:left="1701" w:firstLine="284"/>
        <w:jc w:val="both"/>
        <w:rPr>
          <w:rFonts w:ascii="Traditional Arabic" w:hAnsi="Traditional Arabic" w:cs="Abz-2 (Badr)"/>
          <w:b/>
          <w:bCs/>
          <w:color w:val="000000"/>
          <w:sz w:val="28"/>
          <w:szCs w:val="28"/>
          <w:rtl/>
          <w:lang w:bidi="fa-IR"/>
        </w:rPr>
      </w:pPr>
      <w:r w:rsidRPr="00036790">
        <w:rPr>
          <w:rFonts w:ascii="Traditional Arabic" w:hAnsi="Traditional Arabic" w:cs="Abz-2 (Badr)" w:hint="cs"/>
          <w:b/>
          <w:bCs/>
          <w:color w:val="000000"/>
          <w:sz w:val="28"/>
          <w:szCs w:val="28"/>
          <w:rtl/>
          <w:lang w:bidi="fa-IR"/>
        </w:rPr>
        <w:t>قال المحقّق الحلّي:</w:t>
      </w:r>
      <w:r>
        <w:rPr>
          <w:rFonts w:ascii="Traditional Arabic" w:hAnsi="Traditional Arabic" w:cs="Abz-2 (Badr)" w:hint="cs"/>
          <w:b/>
          <w:bCs/>
          <w:color w:val="000000"/>
          <w:sz w:val="28"/>
          <w:szCs w:val="28"/>
          <w:rtl/>
          <w:lang w:bidi="fa-IR"/>
        </w:rPr>
        <w:t xml:space="preserve"> </w:t>
      </w:r>
      <w:r w:rsidRPr="00036790">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الخامسة عشرة</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 xml:space="preserve"> لو أصدقها قطعة من فض</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ة فصاغتها آنية ثم</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 xml:space="preserve"> طل</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ق</w:t>
      </w:r>
      <w:r>
        <w:rPr>
          <w:rFonts w:ascii="Traditional Arabic" w:hAnsi="Traditional Arabic" w:cs="Abz-2 (Badr)" w:hint="cs"/>
          <w:b/>
          <w:bCs/>
          <w:color w:val="000000"/>
          <w:sz w:val="28"/>
          <w:szCs w:val="28"/>
          <w:rtl/>
          <w:lang w:bidi="fa-IR"/>
        </w:rPr>
        <w:t>ه</w:t>
      </w:r>
      <w:r w:rsidRPr="00B33A57">
        <w:rPr>
          <w:rFonts w:ascii="Traditional Arabic" w:hAnsi="Traditional Arabic" w:cs="Abz-2 (Badr)"/>
          <w:b/>
          <w:bCs/>
          <w:color w:val="000000"/>
          <w:sz w:val="28"/>
          <w:szCs w:val="28"/>
          <w:rtl/>
          <w:lang w:bidi="fa-IR"/>
        </w:rPr>
        <w:t>ا قبل الدخول</w:t>
      </w:r>
      <w:r>
        <w:rPr>
          <w:rFonts w:ascii="Traditional Arabic" w:hAnsi="Traditional Arabic" w:cs="Abz-2 (Badr)" w:hint="cs"/>
          <w:b/>
          <w:bCs/>
          <w:color w:val="000000"/>
          <w:sz w:val="28"/>
          <w:szCs w:val="28"/>
          <w:rtl/>
          <w:lang w:bidi="fa-IR"/>
        </w:rPr>
        <w:t xml:space="preserve">، </w:t>
      </w:r>
      <w:r w:rsidRPr="00B33A57">
        <w:rPr>
          <w:rFonts w:ascii="Traditional Arabic" w:hAnsi="Traditional Arabic" w:cs="Abz-2 (Badr)"/>
          <w:b/>
          <w:bCs/>
          <w:color w:val="000000"/>
          <w:sz w:val="28"/>
          <w:szCs w:val="28"/>
          <w:rtl/>
          <w:lang w:bidi="fa-IR"/>
        </w:rPr>
        <w:t>كانت بالخيار في تسليم نصف العين أو نصف القيمة</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 xml:space="preserve"> لأن</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ه لا يجب عليها بذل الصفة</w:t>
      </w:r>
      <w:r>
        <w:rPr>
          <w:rFonts w:ascii="Traditional Arabic" w:hAnsi="Traditional Arabic" w:cs="Abz-2 (Badr)" w:hint="cs"/>
          <w:b/>
          <w:bCs/>
          <w:color w:val="000000"/>
          <w:sz w:val="28"/>
          <w:szCs w:val="28"/>
          <w:rtl/>
          <w:lang w:bidi="fa-IR"/>
        </w:rPr>
        <w:t>.</w:t>
      </w:r>
    </w:p>
    <w:p w14:paraId="0E622744" w14:textId="77777777" w:rsidR="00AC2CDC" w:rsidRPr="00036790" w:rsidRDefault="00AC2CDC" w:rsidP="00AC2CDC">
      <w:pPr>
        <w:widowControl w:val="0"/>
        <w:bidi/>
        <w:spacing w:after="0"/>
        <w:ind w:left="1701" w:firstLine="284"/>
        <w:jc w:val="both"/>
        <w:rPr>
          <w:rFonts w:ascii="Traditional Arabic" w:hAnsi="Traditional Arabic" w:cs="Abz-2 (Badr)"/>
          <w:b/>
          <w:bCs/>
          <w:color w:val="000000"/>
          <w:sz w:val="28"/>
          <w:szCs w:val="28"/>
          <w:rtl/>
          <w:lang w:bidi="fa-IR"/>
        </w:rPr>
      </w:pPr>
      <w:r w:rsidRPr="00B33A57">
        <w:rPr>
          <w:rFonts w:ascii="Traditional Arabic" w:hAnsi="Traditional Arabic" w:cs="Abz-2 (Badr)"/>
          <w:b/>
          <w:bCs/>
          <w:color w:val="000000"/>
          <w:sz w:val="28"/>
          <w:szCs w:val="28"/>
          <w:rtl/>
          <w:lang w:bidi="fa-IR"/>
        </w:rPr>
        <w:t>ولو كان الصداق ثوبا</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 xml:space="preserve"> فخاطته قميصا</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 xml:space="preserve"> لم يجب على الزوج أخذه وكان له إلزامها بنصف القيمة</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 xml:space="preserve"> لأن</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 xml:space="preserve"> الفض</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ة لا تخرج بالصياغة عم</w:t>
      </w:r>
      <w:r>
        <w:rPr>
          <w:rFonts w:ascii="Traditional Arabic" w:hAnsi="Traditional Arabic" w:cs="Abz-2 (Badr)" w:hint="cs"/>
          <w:b/>
          <w:bCs/>
          <w:color w:val="000000"/>
          <w:sz w:val="28"/>
          <w:szCs w:val="28"/>
          <w:rtl/>
          <w:lang w:bidi="fa-IR"/>
        </w:rPr>
        <w:t>ّ</w:t>
      </w:r>
      <w:r w:rsidRPr="00B33A57">
        <w:rPr>
          <w:rFonts w:ascii="Traditional Arabic" w:hAnsi="Traditional Arabic" w:cs="Abz-2 (Badr)"/>
          <w:b/>
          <w:bCs/>
          <w:color w:val="000000"/>
          <w:sz w:val="28"/>
          <w:szCs w:val="28"/>
          <w:rtl/>
          <w:lang w:bidi="fa-IR"/>
        </w:rPr>
        <w:t>ا كانت قابلة له وليس كذلك الثوب.</w:t>
      </w:r>
      <w:r w:rsidRPr="00036790">
        <w:rPr>
          <w:rFonts w:ascii="Traditional Arabic" w:hAnsi="Traditional Arabic" w:cs="Abz-2 (Badr)" w:hint="cs"/>
          <w:b/>
          <w:bCs/>
          <w:color w:val="000000"/>
          <w:sz w:val="28"/>
          <w:szCs w:val="28"/>
          <w:rtl/>
          <w:lang w:bidi="fa-IR"/>
        </w:rPr>
        <w:t>»</w:t>
      </w:r>
      <w:r w:rsidRPr="0073435E">
        <w:rPr>
          <w:rStyle w:val="FootnoteReference"/>
          <w:rFonts w:cs="Abz-2 (Badr)"/>
          <w:color w:val="000000" w:themeColor="text1"/>
          <w:sz w:val="28"/>
          <w:szCs w:val="28"/>
          <w:rtl/>
          <w:lang w:bidi="ar"/>
        </w:rPr>
        <w:footnoteReference w:id="3"/>
      </w:r>
    </w:p>
    <w:p w14:paraId="66891ADE" w14:textId="77777777"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p>
    <w:p w14:paraId="34D89535" w14:textId="01B27BC4"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اين مسأله در خصوص برخی از مصاديق حصول زياده و نقيصه برای عين در دست زوجه و صدق تالف بر عين مهر است.</w:t>
      </w:r>
    </w:p>
    <w:p w14:paraId="73E0F4EE" w14:textId="599367D1"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lastRenderedPageBreak/>
        <w:t>محقق حلی در حصول زياده، بين اين که مهر مقداری نقره ساخته نشده بوده و زوجه آن را تبديل به نقره ساخته شده کرده و جايی که مهر لباسی بوده و زوجه در آن تغيير ايجاد کرده و لباس ديگری ولو بهتر از لباس اول با آن دوخته است، فرق گذاشته و مورد دوم را از مواردی دانسته که حصول زياده، سبب شده که عرف حکم به تلف مالی کند که زوج به زوجه تحويل داده بوده</w:t>
      </w:r>
      <w:r w:rsidR="00E66242">
        <w:rPr>
          <w:rFonts w:ascii="Traditional Arabic" w:hAnsi="Traditional Arabic" w:cs="Abz-2 (Badr)" w:hint="cs"/>
          <w:color w:val="000000"/>
          <w:spacing w:val="-2"/>
          <w:sz w:val="28"/>
          <w:szCs w:val="28"/>
          <w:rtl/>
          <w:lang w:bidi="fa-IR"/>
        </w:rPr>
        <w:t>،</w:t>
      </w:r>
      <w:r>
        <w:rPr>
          <w:rFonts w:ascii="Traditional Arabic" w:hAnsi="Traditional Arabic" w:cs="Abz-2 (Badr)" w:hint="cs"/>
          <w:color w:val="000000"/>
          <w:spacing w:val="-2"/>
          <w:sz w:val="28"/>
          <w:szCs w:val="28"/>
          <w:rtl/>
          <w:lang w:bidi="fa-IR"/>
        </w:rPr>
        <w:t xml:space="preserve"> فلذا بر زوجه واجب است که بدل بپردازد، در حالی که مورد اول به اين نحو نيست، هرچند زياده سبب شده است که بر زوجه واجب نباشد که از عين مال به زوج بدهد، بلکه زوجه مختار است که حق زوج را از عين مال بدهد و يا از بدل آن.</w:t>
      </w:r>
    </w:p>
    <w:p w14:paraId="18215722" w14:textId="77777777" w:rsidR="00AC2CDC" w:rsidRPr="001E3579" w:rsidRDefault="00AC2CDC" w:rsidP="00AC2CDC">
      <w:pPr>
        <w:pStyle w:val="NormalWeb"/>
        <w:widowControl w:val="0"/>
        <w:bidi/>
        <w:spacing w:before="0" w:beforeAutospacing="0" w:after="0" w:afterAutospacing="0" w:line="269" w:lineRule="auto"/>
        <w:ind w:firstLine="284"/>
        <w:jc w:val="both"/>
        <w:rPr>
          <w:rFonts w:ascii="Traditional Arabic" w:hAnsi="Traditional Arabic" w:cs="Abz-2 (Badr)"/>
          <w:color w:val="000000"/>
          <w:spacing w:val="-2"/>
          <w:sz w:val="28"/>
          <w:szCs w:val="28"/>
          <w:lang w:bidi="fa-IR"/>
        </w:rPr>
      </w:pPr>
      <w:r>
        <w:rPr>
          <w:rFonts w:ascii="Traditional Arabic" w:hAnsi="Traditional Arabic" w:cs="Abz-2 (Badr)" w:hint="cs"/>
          <w:color w:val="000000"/>
          <w:spacing w:val="-2"/>
          <w:sz w:val="28"/>
          <w:szCs w:val="28"/>
          <w:rtl/>
          <w:lang w:bidi="fa-IR"/>
        </w:rPr>
        <w:t>شهيد ثانی در شرح مدعای محقق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w:t>
      </w:r>
      <w:r w:rsidRPr="001E3579">
        <w:rPr>
          <w:rFonts w:ascii="Traditional Arabic" w:hAnsi="Traditional Arabic" w:cs="Abz-2 (Badr)"/>
          <w:color w:val="000000"/>
          <w:spacing w:val="-2"/>
          <w:sz w:val="28"/>
          <w:szCs w:val="28"/>
          <w:rtl/>
          <w:lang w:bidi="fa-IR"/>
        </w:rPr>
        <w:t>هذه المسألة من فروع زيادة العين في يدها، فإن</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xml:space="preserve"> الصنعة زيادة صفة وهي في معنى الزيادة المتّصلة. وقد تقدّم أن</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xml:space="preserve"> المرأة لا تجبر على دفعها كذلك، لمكان الزيادة، بل تتخيّر بين دفعها متبرّعة بالزيادة وبين دفع القيمة. </w:t>
      </w:r>
    </w:p>
    <w:p w14:paraId="521872D1" w14:textId="77777777" w:rsidR="00AC2CDC" w:rsidRDefault="00AC2CDC" w:rsidP="00AC2C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sidRPr="001E3579">
        <w:rPr>
          <w:rFonts w:ascii="Traditional Arabic" w:hAnsi="Traditional Arabic" w:cs="Abz-2 (Badr)"/>
          <w:color w:val="000000"/>
          <w:spacing w:val="-2"/>
          <w:sz w:val="28"/>
          <w:szCs w:val="28"/>
          <w:rtl/>
          <w:lang w:bidi="fa-IR"/>
        </w:rPr>
        <w:t>هذا إذا أمكن إعادة العين إلى أصلها كالفضّة. أم</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ا لو لم يمكن أصلا</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xml:space="preserve"> كالخشب يعمل ألواحا</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أو أمكن بنقص في القيمة كالثوب يفصّل قميصا</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فهو زيادة من وجه ونقص من آخر، فلا يجبر كلّ‌ منهما على أخذ العين.</w:t>
      </w:r>
    </w:p>
    <w:p w14:paraId="491E1634" w14:textId="6D8B4593" w:rsidR="005502C8" w:rsidRDefault="00AC2CDC" w:rsidP="00814D9E">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lang w:bidi="ar"/>
        </w:rPr>
      </w:pPr>
      <w:r w:rsidRPr="001E3579">
        <w:rPr>
          <w:rFonts w:ascii="Traditional Arabic" w:hAnsi="Traditional Arabic" w:cs="Abz-2 (Badr)"/>
          <w:color w:val="000000"/>
          <w:spacing w:val="-2"/>
          <w:sz w:val="28"/>
          <w:szCs w:val="28"/>
          <w:rtl/>
          <w:lang w:bidi="fa-IR"/>
        </w:rPr>
        <w:t>وقد أشار المصن</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ف إلى الفرق بين الأمرين بأن الفضّة لا تخرج بالصياغة عمّا كانت قابلة له، فهي زيادة محضة، وليس كذلك الثوب إذا فصّلته وخاطته قميصا</w:t>
      </w:r>
      <w:r w:rsidR="00526273">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ويستفاد من الفرق أن</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ها فصّلت الثوب أيضا</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xml:space="preserve"> وإن كان قد اقتصر على ذكر الخياطة، لأن</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xml:space="preserve"> الخياطة بمجرّدها زيادة أيضا</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xml:space="preserve"> لا توجب النقصان غالبا</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 xml:space="preserve"> وإن</w:t>
      </w:r>
      <w:r>
        <w:rPr>
          <w:rFonts w:ascii="Traditional Arabic" w:hAnsi="Traditional Arabic" w:cs="Abz-2 (Badr)" w:hint="cs"/>
          <w:color w:val="000000"/>
          <w:spacing w:val="-2"/>
          <w:sz w:val="28"/>
          <w:szCs w:val="28"/>
          <w:rtl/>
          <w:lang w:bidi="fa-IR"/>
        </w:rPr>
        <w:t>ّ</w:t>
      </w:r>
      <w:r w:rsidRPr="001E3579">
        <w:rPr>
          <w:rFonts w:ascii="Traditional Arabic" w:hAnsi="Traditional Arabic" w:cs="Abz-2 (Badr)"/>
          <w:color w:val="000000"/>
          <w:spacing w:val="-2"/>
          <w:sz w:val="28"/>
          <w:szCs w:val="28"/>
          <w:rtl/>
          <w:lang w:bidi="fa-IR"/>
        </w:rPr>
        <w:t>ما أوجبه التفصيل.</w:t>
      </w:r>
      <w:r>
        <w:rPr>
          <w:rFonts w:ascii="Traditional Arabic" w:hAnsi="Traditional Arabic" w:cs="Abz-2 (Badr)" w:hint="cs"/>
          <w:color w:val="000000"/>
          <w:spacing w:val="-2"/>
          <w:sz w:val="28"/>
          <w:szCs w:val="28"/>
          <w:rtl/>
          <w:lang w:bidi="fa-IR"/>
        </w:rPr>
        <w:t>»</w:t>
      </w:r>
      <w:r w:rsidRPr="0073435E">
        <w:rPr>
          <w:rStyle w:val="FootnoteReference"/>
          <w:rFonts w:cs="Abz-2 (Badr)"/>
          <w:color w:val="000000" w:themeColor="text1"/>
          <w:sz w:val="28"/>
          <w:szCs w:val="28"/>
          <w:rtl/>
          <w:lang w:bidi="ar"/>
        </w:rPr>
        <w:footnoteReference w:id="4"/>
      </w:r>
    </w:p>
    <w:p w14:paraId="24DEF1B0" w14:textId="7A80F1C9" w:rsidR="00814D9E" w:rsidRPr="001E3579" w:rsidRDefault="00814D9E" w:rsidP="00814D9E">
      <w:pPr>
        <w:pStyle w:val="NormalWeb"/>
        <w:widowControl w:val="0"/>
        <w:bidi/>
        <w:spacing w:before="0" w:beforeAutospacing="0" w:after="0" w:afterAutospacing="0" w:line="259" w:lineRule="auto"/>
        <w:ind w:firstLine="284"/>
        <w:jc w:val="both"/>
        <w:rPr>
          <w:sz w:val="36"/>
          <w:szCs w:val="36"/>
          <w:rtl/>
          <w:lang w:bidi="fa-IR"/>
        </w:rPr>
      </w:pPr>
      <w:r>
        <w:rPr>
          <w:rFonts w:ascii="Traditional Arabic" w:hAnsi="Traditional Arabic" w:cs="Abz-2 (Badr)" w:hint="cs"/>
          <w:color w:val="000000"/>
          <w:spacing w:val="-2"/>
          <w:sz w:val="28"/>
          <w:szCs w:val="28"/>
          <w:rtl/>
          <w:lang w:bidi="fa-IR"/>
        </w:rPr>
        <w:t xml:space="preserve">اما فرمايشات محقق حلی و شهيد ثانی از جهاتی دارای اشکال است که در جلسه آينده به </w:t>
      </w:r>
      <w:r w:rsidR="00E66242">
        <w:rPr>
          <w:rFonts w:ascii="Traditional Arabic" w:hAnsi="Traditional Arabic" w:cs="Abz-2 (Badr)" w:hint="cs"/>
          <w:color w:val="000000"/>
          <w:spacing w:val="-2"/>
          <w:sz w:val="28"/>
          <w:szCs w:val="28"/>
          <w:rtl/>
          <w:lang w:bidi="fa-IR"/>
        </w:rPr>
        <w:t xml:space="preserve">توضيح </w:t>
      </w:r>
      <w:r>
        <w:rPr>
          <w:rFonts w:ascii="Traditional Arabic" w:hAnsi="Traditional Arabic" w:cs="Abz-2 (Badr)" w:hint="cs"/>
          <w:color w:val="000000"/>
          <w:spacing w:val="-2"/>
          <w:sz w:val="28"/>
          <w:szCs w:val="28"/>
          <w:rtl/>
          <w:lang w:bidi="fa-IR"/>
        </w:rPr>
        <w:t>آن خواهيم پرداخت ان شاء الله.</w:t>
      </w:r>
    </w:p>
    <w:p w14:paraId="768E36D4" w14:textId="7283332D" w:rsidR="00535C6C" w:rsidRDefault="00535C6C" w:rsidP="00AC2CDC">
      <w:pPr>
        <w:pStyle w:val="NormalWeb"/>
        <w:widowControl w:val="0"/>
        <w:spacing w:before="0" w:beforeAutospacing="0" w:after="0" w:afterAutospacing="0" w:line="254" w:lineRule="auto"/>
        <w:ind w:firstLine="284"/>
        <w:jc w:val="both"/>
        <w:rPr>
          <w:rFonts w:ascii="Traditional Arabic" w:hAnsi="Traditional Arabic" w:cs="Abz-2 (Badr)"/>
          <w:color w:val="000000"/>
          <w:spacing w:val="-2"/>
          <w:sz w:val="28"/>
          <w:szCs w:val="28"/>
          <w:rtl/>
          <w:lang w:bidi="fa-IR"/>
        </w:rPr>
      </w:pPr>
    </w:p>
    <w:sectPr w:rsidR="00535C6C" w:rsidSect="00D623E5">
      <w:headerReference w:type="default" r:id="rId7"/>
      <w:footerReference w:type="default" r:id="rId8"/>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D08F6" w14:textId="77777777" w:rsidR="00854FEF" w:rsidRDefault="00854FEF" w:rsidP="00F71127">
      <w:pPr>
        <w:spacing w:after="0" w:line="240" w:lineRule="auto"/>
      </w:pPr>
      <w:r>
        <w:separator/>
      </w:r>
    </w:p>
  </w:endnote>
  <w:endnote w:type="continuationSeparator" w:id="0">
    <w:p w14:paraId="653F2895" w14:textId="77777777" w:rsidR="00854FEF" w:rsidRDefault="00854FE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9D029" w14:textId="77777777" w:rsidR="00854FEF" w:rsidRDefault="00854FEF" w:rsidP="00EE25C0">
      <w:pPr>
        <w:bidi/>
        <w:spacing w:after="0" w:line="240" w:lineRule="auto"/>
      </w:pPr>
      <w:r>
        <w:separator/>
      </w:r>
    </w:p>
  </w:footnote>
  <w:footnote w:type="continuationSeparator" w:id="0">
    <w:p w14:paraId="08317D36" w14:textId="77777777" w:rsidR="00854FEF" w:rsidRDefault="00854FEF" w:rsidP="00F71127">
      <w:pPr>
        <w:bidi/>
        <w:spacing w:after="0" w:line="240" w:lineRule="auto"/>
      </w:pPr>
      <w:r>
        <w:continuationSeparator/>
      </w:r>
    </w:p>
  </w:footnote>
  <w:footnote w:id="1">
    <w:p w14:paraId="416AFE2F" w14:textId="77777777" w:rsidR="00AC2CDC" w:rsidRPr="0004625B" w:rsidRDefault="00AC2CDC" w:rsidP="00AC2CDC">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مسالك،ج8،ص197.</w:t>
      </w:r>
    </w:p>
  </w:footnote>
  <w:footnote w:id="2">
    <w:p w14:paraId="40A628D1" w14:textId="77777777" w:rsidR="00AC2CDC" w:rsidRPr="0004625B" w:rsidRDefault="00AC2CDC" w:rsidP="00AC2CDC">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 xml:space="preserve">ـ </w:t>
      </w:r>
      <w:r>
        <w:rPr>
          <w:rFonts w:cs="Abz-2 (Badr)" w:hint="cs"/>
          <w:rtl/>
        </w:rPr>
        <w:t>همان،ص273.</w:t>
      </w:r>
    </w:p>
  </w:footnote>
  <w:footnote w:id="3">
    <w:p w14:paraId="4178A84D" w14:textId="77777777" w:rsidR="00AC2CDC" w:rsidRPr="0004625B" w:rsidRDefault="00AC2CDC" w:rsidP="00AC2CDC">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 xml:space="preserve">ـ </w:t>
      </w:r>
      <w:r>
        <w:rPr>
          <w:rFonts w:cs="Abz-2 (Badr)" w:hint="cs"/>
          <w:rtl/>
        </w:rPr>
        <w:t>شرائع،ج2،ص275.</w:t>
      </w:r>
    </w:p>
  </w:footnote>
  <w:footnote w:id="4">
    <w:p w14:paraId="4CDD6BA9" w14:textId="77777777" w:rsidR="00AC2CDC" w:rsidRPr="0004625B" w:rsidRDefault="00AC2CDC" w:rsidP="00AC2CDC">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 xml:space="preserve">ـ </w:t>
      </w:r>
      <w:r>
        <w:rPr>
          <w:rFonts w:cs="Abz-2 (Badr)" w:hint="cs"/>
          <w:rtl/>
        </w:rPr>
        <w:t>مسالك،ج8،ص274.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279FC" w14:textId="2B5BE9DA" w:rsidR="00D623E5" w:rsidRDefault="00D623E5">
    <w:pPr>
      <w:pStyle w:val="Header"/>
    </w:pPr>
    <w:r>
      <w:rPr>
        <w:noProof/>
      </w:rPr>
      <mc:AlternateContent>
        <mc:Choice Requires="wps">
          <w:drawing>
            <wp:anchor distT="45720" distB="45720" distL="114300" distR="114300" simplePos="0" relativeHeight="251661312" behindDoc="0" locked="0" layoutInCell="1" allowOverlap="1" wp14:anchorId="00272851" wp14:editId="28744B38">
              <wp:simplePos x="0" y="0"/>
              <wp:positionH relativeFrom="margin">
                <wp:align>right</wp:align>
              </wp:positionH>
              <wp:positionV relativeFrom="paragraph">
                <wp:posOffset>276225</wp:posOffset>
              </wp:positionV>
              <wp:extent cx="337566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1404620"/>
                      </a:xfrm>
                      <a:prstGeom prst="rect">
                        <a:avLst/>
                      </a:prstGeom>
                      <a:solidFill>
                        <a:srgbClr val="FFFFFF"/>
                      </a:solidFill>
                      <a:ln w="9525">
                        <a:noFill/>
                        <a:miter lim="800000"/>
                        <a:headEnd/>
                        <a:tailEnd/>
                      </a:ln>
                    </wps:spPr>
                    <wps:txbx>
                      <w:txbxContent>
                        <w:p w14:paraId="0A2A48ED" w14:textId="097C11A4" w:rsidR="00D623E5" w:rsidRDefault="00D623E5" w:rsidP="00D623E5">
                          <w:pPr>
                            <w:bidi/>
                            <w:rPr>
                              <w:rFonts w:cs="B Mehr"/>
                            </w:rPr>
                          </w:pPr>
                          <w:r>
                            <w:rPr>
                              <w:rFonts w:cs="B Mehr" w:hint="cs"/>
                              <w:rtl/>
                            </w:rPr>
                            <w:t>تقریر درس خارج فقه،  استاد حاج سید علی موسوی اردبیلی</w:t>
                          </w:r>
                          <w:r>
                            <w:rPr>
                              <w:rFonts w:cs="B Mehr" w:hint="cs"/>
                            </w:rPr>
                            <w:t xml:space="preserve"> </w:t>
                          </w:r>
                        </w:p>
                        <w:p w14:paraId="133C5F6D" w14:textId="77777777" w:rsidR="00D623E5" w:rsidRDefault="00D623E5" w:rsidP="00D623E5">
                          <w:pPr>
                            <w:jc w:val="right"/>
                            <w:rPr>
                              <w:rFonts w:cs="B Mehr"/>
                            </w:rPr>
                          </w:pPr>
                          <w:r>
                            <w:rPr>
                              <w:rFonts w:cs="B Mehr" w:hint="cs"/>
                              <w:rtl/>
                            </w:rPr>
                            <w:t xml:space="preserve">مبحث: نکاح    / مهر </w:t>
                          </w:r>
                        </w:p>
                        <w:p w14:paraId="0E259C56" w14:textId="38F071B3" w:rsidR="00D623E5" w:rsidRDefault="00D623E5" w:rsidP="00D623E5">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21 آبان  ماه - 1402ه.ش</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272851" id="_x0000_t202" coordsize="21600,21600" o:spt="202" path="m,l,21600r21600,l21600,xe">
              <v:stroke joinstyle="miter"/>
              <v:path gradientshapeok="t" o:connecttype="rect"/>
            </v:shapetype>
            <v:shape id="Text Box 2" o:spid="_x0000_s1026" type="#_x0000_t202" style="position:absolute;margin-left:214.6pt;margin-top:21.75pt;width:265.8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" stroked="f">
              <v:textbox style="mso-fit-shape-to-text:t">
                <w:txbxContent>
                  <w:p w14:paraId="0A2A48ED" w14:textId="097C11A4" w:rsidR="00D623E5" w:rsidRDefault="00D623E5" w:rsidP="00D623E5">
                    <w:pPr>
                      <w:bidi/>
                      <w:rPr>
                        <w:rFonts w:cs="B Mehr"/>
                      </w:rPr>
                    </w:pPr>
                    <w:r>
                      <w:rPr>
                        <w:rFonts w:cs="B Mehr" w:hint="cs"/>
                        <w:rtl/>
                      </w:rPr>
                      <w:t>تقریر درس خارج فقه،  استاد حاج سید علی موسوی اردبیلی</w:t>
                    </w:r>
                    <w:r>
                      <w:rPr>
                        <w:rFonts w:cs="B Mehr" w:hint="cs"/>
                      </w:rPr>
                      <w:t xml:space="preserve"> </w:t>
                    </w:r>
                  </w:p>
                  <w:p w14:paraId="133C5F6D" w14:textId="77777777" w:rsidR="00D623E5" w:rsidRDefault="00D623E5" w:rsidP="00D623E5">
                    <w:pPr>
                      <w:jc w:val="right"/>
                      <w:rPr>
                        <w:rFonts w:cs="B Mehr"/>
                      </w:rPr>
                    </w:pPr>
                    <w:r>
                      <w:rPr>
                        <w:rFonts w:cs="B Mehr" w:hint="cs"/>
                        <w:rtl/>
                      </w:rPr>
                      <w:t xml:space="preserve">مبحث: نکاح    / مهر </w:t>
                    </w:r>
                  </w:p>
                  <w:p w14:paraId="0E259C56" w14:textId="38F071B3" w:rsidR="00D623E5" w:rsidRDefault="00D623E5" w:rsidP="00D623E5">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21 آبان  ماه - 1402ه.ش</w:t>
                    </w:r>
                  </w:p>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F78EC19" wp14:editId="2D063A4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8724B"/>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6A25"/>
    <w:rsid w:val="00377194"/>
    <w:rsid w:val="00380EDD"/>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685A"/>
    <w:rsid w:val="008473A4"/>
    <w:rsid w:val="0085135C"/>
    <w:rsid w:val="00851737"/>
    <w:rsid w:val="00854FEF"/>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198F"/>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23E5"/>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66242"/>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9614</TotalTime>
  <Pages>1</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1148</cp:revision>
  <cp:lastPrinted>2023-11-11T07:30:00Z</cp:lastPrinted>
  <dcterms:created xsi:type="dcterms:W3CDTF">2022-10-16T08:36:00Z</dcterms:created>
  <dcterms:modified xsi:type="dcterms:W3CDTF">2023-11-13T07:17:00Z</dcterms:modified>
</cp:coreProperties>
</file>